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DAF" w:rsidRDefault="00306DAF"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A0996" w:rsidRPr="00306DAF" w:rsidRDefault="002929D9" w:rsidP="003A3833">
      <w:pPr>
        <w:spacing w:line="480" w:lineRule="auto"/>
        <w:jc w:val="center"/>
        <w:rPr>
          <w:rFonts w:ascii="Times New Roman" w:hAnsi="Times New Roman" w:cs="Times New Roman"/>
          <w:sz w:val="24"/>
          <w:szCs w:val="24"/>
        </w:rPr>
      </w:pPr>
      <w:r w:rsidRPr="00306DAF">
        <w:rPr>
          <w:rFonts w:ascii="Times New Roman" w:hAnsi="Times New Roman" w:cs="Times New Roman"/>
          <w:sz w:val="24"/>
          <w:szCs w:val="24"/>
        </w:rPr>
        <w:t xml:space="preserve">Summary of Fiscal and Monetary Policies </w:t>
      </w:r>
    </w:p>
    <w:p w:rsidR="008B1A9A" w:rsidRPr="00306DAF" w:rsidRDefault="008B1A9A" w:rsidP="003A3833">
      <w:pPr>
        <w:spacing w:line="480" w:lineRule="auto"/>
        <w:jc w:val="center"/>
        <w:rPr>
          <w:rFonts w:ascii="Times New Roman" w:hAnsi="Times New Roman" w:cs="Times New Roman"/>
          <w:sz w:val="24"/>
          <w:szCs w:val="24"/>
        </w:rPr>
      </w:pPr>
      <w:r w:rsidRPr="00306DAF">
        <w:rPr>
          <w:rFonts w:ascii="Times New Roman" w:hAnsi="Times New Roman" w:cs="Times New Roman"/>
          <w:sz w:val="24"/>
          <w:szCs w:val="24"/>
        </w:rPr>
        <w:t>Name</w:t>
      </w:r>
    </w:p>
    <w:p w:rsidR="008B1A9A" w:rsidRPr="00306DAF" w:rsidRDefault="008B1A9A" w:rsidP="003A3833">
      <w:pPr>
        <w:spacing w:line="480" w:lineRule="auto"/>
        <w:jc w:val="center"/>
        <w:rPr>
          <w:rFonts w:ascii="Times New Roman" w:hAnsi="Times New Roman" w:cs="Times New Roman"/>
          <w:sz w:val="24"/>
          <w:szCs w:val="24"/>
        </w:rPr>
      </w:pPr>
      <w:r w:rsidRPr="00306DAF">
        <w:rPr>
          <w:rFonts w:ascii="Times New Roman" w:hAnsi="Times New Roman" w:cs="Times New Roman"/>
          <w:sz w:val="24"/>
          <w:szCs w:val="24"/>
        </w:rPr>
        <w:t>Institution</w:t>
      </w:r>
    </w:p>
    <w:p w:rsidR="008B1A9A" w:rsidRPr="00306DAF" w:rsidRDefault="008B1A9A" w:rsidP="003A3833">
      <w:pPr>
        <w:spacing w:line="480" w:lineRule="auto"/>
        <w:jc w:val="center"/>
        <w:rPr>
          <w:rFonts w:ascii="Times New Roman" w:hAnsi="Times New Roman" w:cs="Times New Roman"/>
          <w:sz w:val="24"/>
          <w:szCs w:val="24"/>
        </w:rPr>
      </w:pPr>
      <w:r w:rsidRPr="00306DAF">
        <w:rPr>
          <w:rFonts w:ascii="Times New Roman" w:hAnsi="Times New Roman" w:cs="Times New Roman"/>
          <w:sz w:val="24"/>
          <w:szCs w:val="24"/>
        </w:rPr>
        <w:t>Date</w:t>
      </w:r>
    </w:p>
    <w:p w:rsidR="008B1A9A" w:rsidRDefault="008B1A9A"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A3833" w:rsidRDefault="003A3833"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06DAF" w:rsidRDefault="00306DAF" w:rsidP="003A3833">
      <w:pPr>
        <w:spacing w:line="480" w:lineRule="auto"/>
        <w:jc w:val="center"/>
        <w:rPr>
          <w:rFonts w:ascii="Times New Roman" w:hAnsi="Times New Roman" w:cs="Times New Roman"/>
          <w:sz w:val="24"/>
          <w:szCs w:val="24"/>
        </w:rPr>
      </w:pPr>
    </w:p>
    <w:p w:rsidR="00306DAF" w:rsidRPr="00306DAF" w:rsidRDefault="00306DAF" w:rsidP="003A3833">
      <w:pPr>
        <w:spacing w:line="480" w:lineRule="auto"/>
        <w:rPr>
          <w:rFonts w:ascii="Times New Roman" w:hAnsi="Times New Roman" w:cs="Times New Roman"/>
          <w:sz w:val="24"/>
          <w:szCs w:val="24"/>
        </w:rPr>
      </w:pPr>
    </w:p>
    <w:p w:rsidR="008B1A9A" w:rsidRPr="00306DAF" w:rsidRDefault="008B1A9A" w:rsidP="003A3833">
      <w:pPr>
        <w:spacing w:line="480" w:lineRule="auto"/>
        <w:jc w:val="center"/>
        <w:rPr>
          <w:rFonts w:ascii="Times New Roman" w:hAnsi="Times New Roman" w:cs="Times New Roman"/>
          <w:sz w:val="24"/>
          <w:szCs w:val="24"/>
        </w:rPr>
      </w:pPr>
      <w:r w:rsidRPr="00306DAF">
        <w:rPr>
          <w:rFonts w:ascii="Times New Roman" w:hAnsi="Times New Roman" w:cs="Times New Roman"/>
          <w:sz w:val="24"/>
          <w:szCs w:val="24"/>
        </w:rPr>
        <w:lastRenderedPageBreak/>
        <w:t xml:space="preserve">Summary of Fiscal and Monetary Policies </w:t>
      </w:r>
    </w:p>
    <w:p w:rsidR="00484E74" w:rsidRDefault="008B1A9A" w:rsidP="00484E74">
      <w:pPr>
        <w:pStyle w:val="NormalWeb"/>
        <w:spacing w:before="0" w:beforeAutospacing="0" w:after="0" w:afterAutospacing="0" w:line="480" w:lineRule="auto"/>
        <w:ind w:firstLine="720"/>
      </w:pPr>
      <w:r w:rsidRPr="00306DAF">
        <w:t>In the contemporary scenario, the Coronavirus (COVID-19) pandemic has almost brought the world into a halt, with inevitable disruptions to the global economic activities and heavy tolls on human lives. According to the World Health Organization reports, the rapid spread of Covid-19 is still threatening to end the dynasty of humankind with millions of people rendered vulnerable by malnutrition, food insecurity, domestic violence, together with the effects of conflict among other threats (International Monetary Fund, 2020). To mitigate the current and potential impacts of the novel COVID -19 pandemic, it has been a mandatory and universal responsibility stretching from individual efforts to international extents. Developed nations have staged enormous health and public spending programs to curb to address the economic effects affiliated with the COVID-19 pandemic</w:t>
      </w:r>
      <w:r w:rsidR="005D1993">
        <w:t xml:space="preserve"> </w:t>
      </w:r>
      <w:r w:rsidR="005D1993" w:rsidRPr="00306DAF">
        <w:t>(International Monetary Fund, 2020)</w:t>
      </w:r>
      <w:r w:rsidRPr="00306DAF">
        <w:t xml:space="preserve">. The U.S. is facing a </w:t>
      </w:r>
      <w:r w:rsidR="005D1993">
        <w:t>wide</w:t>
      </w:r>
      <w:r w:rsidRPr="00306DAF">
        <w:t>spread of COVID-19 that has claimed thousands of American's lives (Didier, Huneeus, Larrain &amp; Schmukler, 2020). As a result, the U.S. has enacted a wid</w:t>
      </w:r>
      <w:r w:rsidR="005D1993">
        <w:t xml:space="preserve">e array of measures such as </w:t>
      </w:r>
      <w:r w:rsidRPr="00306DAF">
        <w:t>travel restrictions, and increased testing, among other factors. The already imposed anti-COVID-19 measures have created threats to the economy, and hence there is a need to address all specks of economic fallouts. For that reason, this study offers an accurate summary of fiscal and monetary policies implemented in the U.S. to counter the COVID-19 pandemic. </w:t>
      </w:r>
    </w:p>
    <w:p w:rsidR="00484E74" w:rsidRDefault="008B1A9A" w:rsidP="00484E74">
      <w:pPr>
        <w:pStyle w:val="NormalWeb"/>
        <w:spacing w:before="0" w:beforeAutospacing="0" w:after="0" w:afterAutospacing="0" w:line="480" w:lineRule="auto"/>
        <w:ind w:firstLine="720"/>
      </w:pPr>
      <w:r w:rsidRPr="00306DAF">
        <w:rPr>
          <w:b/>
        </w:rPr>
        <w:t>Fiscal Policies Implemented in the U.S. to Counter the COVID-19 Pandemic</w:t>
      </w:r>
    </w:p>
    <w:p w:rsidR="008B1A9A" w:rsidRPr="00306DAF" w:rsidRDefault="008B1A9A" w:rsidP="00484E74">
      <w:pPr>
        <w:pStyle w:val="NormalWeb"/>
        <w:spacing w:before="0" w:beforeAutospacing="0" w:after="0" w:afterAutospacing="0" w:line="480" w:lineRule="auto"/>
        <w:ind w:firstLine="720"/>
      </w:pPr>
      <w:r w:rsidRPr="00306DAF">
        <w:t>Effective implementation of strategized fiscal policies is a key response to the novel COVID-19 pandemic. The U.S. has sanctioned USD$</w:t>
      </w:r>
      <w:r w:rsidR="00803FA2">
        <w:t xml:space="preserve"> </w:t>
      </w:r>
      <w:r w:rsidRPr="00306DAF">
        <w:t xml:space="preserve">484 billion Paycheck Protection Program </w:t>
      </w:r>
      <w:r w:rsidR="00803FA2">
        <w:t xml:space="preserve">(PPP) </w:t>
      </w:r>
      <w:r w:rsidRPr="00306DAF">
        <w:t xml:space="preserve">and Health Care Enhancement Act. The legislation inspired accurate dissemination of funds where US$75 billion were allocated for hospitals, US$310 billion to cater for forgivable Small Business Administration (SBA) loans as well as guarantees to aid small business in </w:t>
      </w:r>
      <w:r w:rsidRPr="00306DAF">
        <w:lastRenderedPageBreak/>
        <w:t>maintaining their businesses (International Monetary Fund, 2020). Also, US$ 60 billion were allocated to offer SBA grants to help in small business and US$ 25 billion to diversify for expanding virus testing. </w:t>
      </w:r>
    </w:p>
    <w:p w:rsidR="008B1A9A" w:rsidRPr="00306DAF" w:rsidRDefault="008B1A9A" w:rsidP="003A3833">
      <w:pPr>
        <w:pStyle w:val="NormalWeb"/>
        <w:spacing w:before="0" w:beforeAutospacing="0" w:after="0" w:afterAutospacing="0" w:line="480" w:lineRule="auto"/>
        <w:ind w:firstLine="720"/>
      </w:pPr>
      <w:r w:rsidRPr="00306DAF">
        <w:t>The fiscal policy has also estimated US$ 2.3 trillion for Coronavirus Aid, Relief, and Economy Security Act. The Act entails US$250 billion billed to address the mushrooming unemployment, US$ 250 billion to cater for one-time tax repayments to individuals, US$ 510 billion to deter corporate bankruptcy via offering approved grants and loans. Among these, US$ 24 billion were billed to address food security affiliated with the most vulnerable populations, and US$ 350 billion for SBA to aid small businesses that retain workers. Through the CARES Act, US$100 billion were allocated to hospitals, US$ 150 billion for transfers, and US$</w:t>
      </w:r>
      <w:r w:rsidR="00803FA2">
        <w:t xml:space="preserve"> </w:t>
      </w:r>
      <w:r w:rsidRPr="00306DAF">
        <w:t>49.9 billion for international assistance</w:t>
      </w:r>
      <w:r w:rsidR="00803FA2">
        <w:t xml:space="preserve"> </w:t>
      </w:r>
      <w:r w:rsidR="00803FA2" w:rsidRPr="00306DAF">
        <w:t>(International Monetary Fund, 2020)</w:t>
      </w:r>
      <w:r w:rsidRPr="00306DAF">
        <w:t>.</w:t>
      </w:r>
    </w:p>
    <w:p w:rsidR="00306DAF" w:rsidRPr="00B83CAC" w:rsidRDefault="006D5EFA" w:rsidP="00B83CAC">
      <w:pPr>
        <w:pStyle w:val="NormalWeb"/>
        <w:spacing w:before="0" w:beforeAutospacing="0" w:after="0" w:afterAutospacing="0" w:line="480" w:lineRule="auto"/>
        <w:ind w:firstLine="720"/>
      </w:pPr>
      <w:r>
        <w:t>T</w:t>
      </w:r>
      <w:r w:rsidR="008B1A9A" w:rsidRPr="00306DAF">
        <w:t xml:space="preserve">he U.S. fiscal policy supported the implementation of the Coronavirus Preparedness and Response Supplemental Appropriations Act with US$8.3 billion. Also, US$ 192 billion was allotted to the Families First Coronavirus Response Act (Didier et al., 2020). About 1% of the GDP has been deployed to support the virus testing initiatives, effective transfer of Medicaid funding, development of vaccines, diagnostics, and therapeutics in addition to supporting the Centers for Disease Control and Prevention </w:t>
      </w:r>
      <w:r w:rsidR="00803FA2">
        <w:t xml:space="preserve">(CDC) </w:t>
      </w:r>
      <w:r w:rsidR="008B1A9A" w:rsidRPr="00306DAF">
        <w:t>responses. Also, the federal government has suspended federal student loan obligations for two months. </w:t>
      </w:r>
    </w:p>
    <w:p w:rsidR="008B1A9A" w:rsidRPr="00306DAF" w:rsidRDefault="008B1A9A" w:rsidP="007A23BA">
      <w:pPr>
        <w:pStyle w:val="NormalWeb"/>
        <w:spacing w:before="0" w:beforeAutospacing="0" w:after="0" w:afterAutospacing="0" w:line="480" w:lineRule="auto"/>
        <w:jc w:val="center"/>
        <w:rPr>
          <w:b/>
        </w:rPr>
      </w:pPr>
      <w:r w:rsidRPr="00306DAF">
        <w:rPr>
          <w:b/>
        </w:rPr>
        <w:t>Monetary Policies Implemented in the U.S. to Counter COVID-19 Pandemic</w:t>
      </w:r>
    </w:p>
    <w:p w:rsidR="008B1A9A" w:rsidRPr="00306DAF" w:rsidRDefault="008B1A9A" w:rsidP="003A3833">
      <w:pPr>
        <w:pStyle w:val="NormalWeb"/>
        <w:spacing w:before="0" w:beforeAutospacing="0" w:after="0" w:afterAutospacing="0" w:line="480" w:lineRule="auto"/>
        <w:ind w:firstLine="720"/>
      </w:pPr>
      <w:r w:rsidRPr="00306DAF">
        <w:t xml:space="preserve">In response to the novel COVID-19 pandemic, effective monetary policies were put in place (Beine et al., 2020). The monetary policy has also altered the purchase of Treasury as well as agency securities to the most recommendable levels during this period of novel war. The existing costs of swap lines have also been lowered with the core central banks while extending </w:t>
      </w:r>
      <w:r w:rsidRPr="00306DAF">
        <w:lastRenderedPageBreak/>
        <w:t>the maturity periods of FX operations (Curdia, 2020). The cost of discount window lending has also been lowered. The U.S. dollar swap lines were diversified to a large number of central banks within the nation.</w:t>
      </w:r>
    </w:p>
    <w:p w:rsidR="008B1A9A" w:rsidRPr="00306DAF" w:rsidRDefault="008B1A9A" w:rsidP="003A3833">
      <w:pPr>
        <w:pStyle w:val="NormalWeb"/>
        <w:spacing w:before="0" w:beforeAutospacing="0" w:after="0" w:afterAutospacing="0" w:line="480" w:lineRule="auto"/>
        <w:ind w:firstLine="720"/>
      </w:pPr>
      <w:r w:rsidRPr="00306DAF">
        <w:t>The U.S. Federal Reserve has also provided different facilities to accurately support the flow of credit, in some cases, via the Treasury with effective funding appropriated under the CARES Act</w:t>
      </w:r>
      <w:r w:rsidR="000336E7">
        <w:t xml:space="preserve"> </w:t>
      </w:r>
      <w:r w:rsidR="000336E7" w:rsidRPr="00306DAF">
        <w:t>(Curdia, 2020)</w:t>
      </w:r>
      <w:r w:rsidRPr="00306DAF">
        <w:t>. The major treasury facilities include the Primary Dealer Credit Facility to ensure accurate funding to the Federal's 24-hour p</w:t>
      </w:r>
      <w:r w:rsidR="000336E7">
        <w:t xml:space="preserve">rimary dealers classified via different </w:t>
      </w:r>
      <w:r w:rsidRPr="00306DAF">
        <w:t>investment-grade securities. Federal Reserves introduced the Commercial Paper Funding Facility to enable the provision of commercial papers by municipal users (Curdia, 2020). In addition, Money Market Mutual Funds Liquidity Facility was introduced to allow loaning to depository institutions. The Paycheck Protection Program Liquidity Facility (PPPLF) was introduced to ensure the liquidity of financial institutions that make loans while enabling small businesses to keep their workers on the payroll. Other core initiatives under Federal Reserve include the Main Street Lending Program to purchase and </w:t>
      </w:r>
      <w:r w:rsidRPr="000336E7">
        <w:rPr>
          <w:rStyle w:val="Emphasis"/>
          <w:i w:val="0"/>
        </w:rPr>
        <w:t>the Term Asset-Backed Securities Loan Facility</w:t>
      </w:r>
      <w:r w:rsidR="000336E7">
        <w:rPr>
          <w:rStyle w:val="Emphasis"/>
          <w:i w:val="0"/>
        </w:rPr>
        <w:t>,</w:t>
      </w:r>
      <w:r w:rsidRPr="00306DAF">
        <w:t xml:space="preserve"> which play a core role in defeating COVID-19.</w:t>
      </w:r>
    </w:p>
    <w:p w:rsidR="008B1A9A" w:rsidRPr="00306DAF" w:rsidRDefault="008B1A9A" w:rsidP="003A3833">
      <w:pPr>
        <w:pStyle w:val="NormalWeb"/>
        <w:spacing w:before="0" w:beforeAutospacing="0" w:after="0" w:afterAutospacing="0" w:line="480" w:lineRule="auto"/>
        <w:ind w:firstLine="720"/>
      </w:pPr>
      <w:r w:rsidRPr="00306DAF">
        <w:t>In response, superiority actions were introduced to mobilize federal banking supervisors to use their capital and liquidity buffers to work constructively with borrowers affected by COVID-19 and indicated COVID-19 related loan modifications would not be classified as troubled debt restructurings</w:t>
      </w:r>
      <w:r w:rsidR="006D5EFA">
        <w:t xml:space="preserve"> (</w:t>
      </w:r>
      <w:r w:rsidR="006D5EFA" w:rsidRPr="00306DAF">
        <w:t>Chakraborty &amp; Thomas, 2020)</w:t>
      </w:r>
      <w:r w:rsidRPr="00306DAF">
        <w:t>. Regulatory actions were also introduced to lower the aspects of community bank leverage rate while extending transition for the Current Expected Credit Loss accounting standard. There is no doubt the federal monetary policies have been at the forefront in addressing the risks affiliated with the Novel COVID-19 pandemic. </w:t>
      </w:r>
    </w:p>
    <w:p w:rsidR="008B1A9A" w:rsidRPr="00306DAF" w:rsidRDefault="008B1A9A" w:rsidP="003A3833">
      <w:pPr>
        <w:pStyle w:val="NormalWeb"/>
        <w:spacing w:before="0" w:beforeAutospacing="0" w:after="0" w:afterAutospacing="0" w:line="480" w:lineRule="auto"/>
        <w:jc w:val="center"/>
        <w:rPr>
          <w:b/>
        </w:rPr>
      </w:pPr>
      <w:r w:rsidRPr="00306DAF">
        <w:rPr>
          <w:b/>
        </w:rPr>
        <w:lastRenderedPageBreak/>
        <w:t xml:space="preserve">Perspective </w:t>
      </w:r>
      <w:r w:rsidRPr="00306DAF">
        <w:rPr>
          <w:b/>
        </w:rPr>
        <w:t>R</w:t>
      </w:r>
      <w:r w:rsidRPr="00306DAF">
        <w:rPr>
          <w:b/>
        </w:rPr>
        <w:t>egarding the Fiscal and Monetary Response</w:t>
      </w:r>
    </w:p>
    <w:p w:rsidR="008B1A9A" w:rsidRPr="00306DAF" w:rsidRDefault="008B1A9A" w:rsidP="003A3833">
      <w:pPr>
        <w:pStyle w:val="NormalWeb"/>
        <w:spacing w:before="0" w:beforeAutospacing="0" w:after="0" w:afterAutospacing="0" w:line="480" w:lineRule="auto"/>
        <w:ind w:firstLine="720"/>
      </w:pPr>
      <w:r w:rsidRPr="00306DAF">
        <w:t>In my understanding, I consider the fiscal and monetary policy responses declared by the federal government of the United States to be timely, appropriate, and sizable enough to counter the current economic downturn. There is no doubt that the ongoing novel COVID-19 pandemic has posed tremendous effects on our economy. However, I would argue that the fiscal authorities took a timely responsibility to keep our house in order to counter the economic impacts of the pandemic. The adopted fiscal policies were appropriate and sizable enough for designing and implementing economic stabilization strategies to accurately mitigate the effects affiliated with the growing unemployment and business collapses.  </w:t>
      </w:r>
    </w:p>
    <w:p w:rsidR="008B1A9A" w:rsidRPr="00306DAF" w:rsidRDefault="008B1A9A" w:rsidP="003A3833">
      <w:pPr>
        <w:pStyle w:val="NormalWeb"/>
        <w:spacing w:before="0" w:beforeAutospacing="0" w:after="0" w:afterAutospacing="0" w:line="480" w:lineRule="auto"/>
        <w:ind w:firstLine="720"/>
      </w:pPr>
      <w:r w:rsidRPr="00306DAF">
        <w:t>Notably, t</w:t>
      </w:r>
      <w:r w:rsidRPr="00306DAF">
        <w:t xml:space="preserve">he fiscal authorities staged their intervention measures in a well-calculated </w:t>
      </w:r>
      <w:r w:rsidR="00F23935" w:rsidRPr="00306DAF">
        <w:t>approach</w:t>
      </w:r>
      <w:r w:rsidRPr="00306DAF">
        <w:t xml:space="preserve">, which encouraged calculated income tax cuts, government purchases, uncontrolled transfer, income tax, and appropriate liquidity assistance to the distressed companies. </w:t>
      </w:r>
      <w:r w:rsidR="008A6303" w:rsidRPr="00306DAF">
        <w:t>A</w:t>
      </w:r>
      <w:r w:rsidRPr="00306DAF">
        <w:t xml:space="preserve">nalytically, the basic adverse effects of every pandemic to an economy are featured with a sharp rise in unemployment rates. In this regard, I consider it appropriate for the fiscal authorities to provide capital transfers to the unemployed. The initiated tax cuts have inevitable benefits to the workers who were in a position to maintain their occupation, although only a few employees exist in this aftermath scenario. Notably, it was also necessary to initiate liquidity assistance to the affected firms to aid in stabilizing income but, more importantly, aid in the rapid stabilization of employment in the most affected sectors. Arguably, the current economic impacts of the Covid-19 are an accurate reflection of the ideal issues affecting the nation. However, it is worthy to note that ideal discrepancy amid virus economics from the business economics is defined by the absurdity that the most promising thing we can put in place for the sake of our economy has </w:t>
      </w:r>
      <w:r w:rsidRPr="00306DAF">
        <w:lastRenderedPageBreak/>
        <w:t>little or nothing in common with the economy. Thus, other promising measures need to be integrated to address this pandemic.</w:t>
      </w:r>
    </w:p>
    <w:p w:rsidR="008B1A9A" w:rsidRPr="00306DAF" w:rsidRDefault="008B1A9A" w:rsidP="003A3833">
      <w:pPr>
        <w:pStyle w:val="NormalWeb"/>
        <w:spacing w:before="0" w:beforeAutospacing="0" w:after="0" w:afterAutospacing="0" w:line="480" w:lineRule="auto"/>
        <w:ind w:firstLine="720"/>
      </w:pPr>
      <w:r w:rsidRPr="00306DAF">
        <w:t>I deeply applaud the efforts undertaken by the monetary authorities to stage aggressive policy response to this global war within the U.S. I am convinced that the federal reserves were prompt to set the federal funds rate to reduce the gap amid unemployment and inflation within the nation (Chakraborty &amp; Thomas, 2020). Borrowing from economic advisers, the major rationale for faster and timely response to this abnormal pandemic is that both businesses and households have the capability to adjust to economic conditions in either manner. For that reason, the widespread of covid-19 shared alarming anticipation of reduced economic productivity and reduced demands, making business and households to chop their spending and hence making economic conditions worse in the future. It is also worthy to note that the immediate impact of the pandemic would lead to constrained monetary policies leading to the extreme deterioration of economic conditions, pushing the current conditions down even more. In principle, the adopted monetary policies occupy a core point in addressing the attached economic effects. </w:t>
      </w:r>
    </w:p>
    <w:p w:rsidR="008B1A9A" w:rsidRPr="00306DAF" w:rsidRDefault="008B1A9A" w:rsidP="003A3833">
      <w:pPr>
        <w:pStyle w:val="NormalWeb"/>
        <w:spacing w:before="0" w:beforeAutospacing="0" w:after="0" w:afterAutospacing="0" w:line="480" w:lineRule="auto"/>
        <w:ind w:firstLine="720"/>
      </w:pPr>
      <w:r w:rsidRPr="00306DAF">
        <w:t>On the contrary, there exists limited policy space and increased severity of economic impacts. The current state of the economy required quite stringent interventions, which still pushes the economy down even with the promising fiscal and monetary policies. There are possibilities that the pandemic could pose lingering impacts, which may be prolonged in a baseline scenario. Considering fiscal and monetary policies staged against the pandemic as timely, appropriate, and sizable does not deem them secure. The potential impacts of the pandemic tend to be severe, and these conventional policies may be constrained longer, leading to inevitable economic downtown. </w:t>
      </w:r>
    </w:p>
    <w:p w:rsidR="008B1A9A" w:rsidRPr="00306DAF" w:rsidRDefault="008B1A9A" w:rsidP="003A3833">
      <w:pPr>
        <w:pStyle w:val="NormalWeb"/>
        <w:spacing w:before="0" w:beforeAutospacing="0" w:after="0" w:afterAutospacing="0" w:line="480" w:lineRule="auto"/>
        <w:ind w:firstLine="720"/>
      </w:pPr>
      <w:r w:rsidRPr="00306DAF">
        <w:lastRenderedPageBreak/>
        <w:t>In summation, the U.S. government tends to appreciate the fact that it has a duty to protect the people and the economy from dogmas attached to this pandemic. Fiscal policies and monetary policies have elevated American's hopes in defeating this pandemic by rejuvenating, financing, and facilitating all these core approaches to counter the effects of COVID-19. However, some states are quite constrained in their capability to apply the provisioned fiscal policies to address major economic interruptions resulting from the current coronavirus pandemic (Chakraborty &amp; Thomas, 2020). Structural restrictions like high debt limits, balanced budget requirements, together with the revenue capacity, renders it nearly impossible to rescue the public from unemployment and address the economic downturn effects. The federal government should deploy authorities to effectively use their financial resources in addition to the fiscal capacity to combat pressures affiliated with the Covid-19 crisis. </w:t>
      </w:r>
    </w:p>
    <w:p w:rsidR="00161A6F" w:rsidRPr="00306DAF" w:rsidRDefault="00161A6F" w:rsidP="003A3833">
      <w:pPr>
        <w:spacing w:line="480" w:lineRule="auto"/>
        <w:rPr>
          <w:rFonts w:ascii="Times New Roman" w:hAnsi="Times New Roman" w:cs="Times New Roman"/>
          <w:sz w:val="24"/>
          <w:szCs w:val="24"/>
          <w:shd w:val="clear" w:color="auto" w:fill="FFFFFF"/>
        </w:rPr>
      </w:pPr>
    </w:p>
    <w:p w:rsidR="00161A6F" w:rsidRDefault="00161A6F" w:rsidP="003A3833">
      <w:pPr>
        <w:spacing w:line="480" w:lineRule="auto"/>
        <w:rPr>
          <w:rFonts w:ascii="Times New Roman" w:hAnsi="Times New Roman" w:cs="Times New Roman"/>
          <w:sz w:val="24"/>
          <w:szCs w:val="24"/>
          <w:shd w:val="clear" w:color="auto" w:fill="FFFFFF"/>
        </w:rPr>
      </w:pPr>
    </w:p>
    <w:p w:rsidR="007D19F3" w:rsidRDefault="007D19F3" w:rsidP="003A3833">
      <w:pPr>
        <w:spacing w:line="480" w:lineRule="auto"/>
        <w:rPr>
          <w:rFonts w:ascii="Times New Roman" w:hAnsi="Times New Roman" w:cs="Times New Roman"/>
          <w:sz w:val="24"/>
          <w:szCs w:val="24"/>
          <w:shd w:val="clear" w:color="auto" w:fill="FFFFFF"/>
        </w:rPr>
      </w:pPr>
    </w:p>
    <w:p w:rsidR="007D19F3" w:rsidRDefault="007D19F3" w:rsidP="003A3833">
      <w:pPr>
        <w:spacing w:line="480" w:lineRule="auto"/>
        <w:rPr>
          <w:rFonts w:ascii="Times New Roman" w:hAnsi="Times New Roman" w:cs="Times New Roman"/>
          <w:sz w:val="24"/>
          <w:szCs w:val="24"/>
          <w:shd w:val="clear" w:color="auto" w:fill="FFFFFF"/>
        </w:rPr>
      </w:pPr>
    </w:p>
    <w:p w:rsidR="007D19F3" w:rsidRPr="00306DAF" w:rsidRDefault="007D19F3" w:rsidP="003A3833">
      <w:pPr>
        <w:spacing w:line="480" w:lineRule="auto"/>
        <w:rPr>
          <w:rFonts w:ascii="Times New Roman" w:hAnsi="Times New Roman" w:cs="Times New Roman"/>
          <w:sz w:val="24"/>
          <w:szCs w:val="24"/>
          <w:shd w:val="clear" w:color="auto" w:fill="FFFFFF"/>
        </w:rPr>
      </w:pPr>
    </w:p>
    <w:p w:rsidR="00161A6F" w:rsidRDefault="00161A6F" w:rsidP="003A3833">
      <w:pPr>
        <w:spacing w:line="480" w:lineRule="auto"/>
        <w:jc w:val="center"/>
        <w:rPr>
          <w:rFonts w:ascii="Times New Roman" w:hAnsi="Times New Roman" w:cs="Times New Roman"/>
          <w:sz w:val="24"/>
          <w:szCs w:val="24"/>
          <w:shd w:val="clear" w:color="auto" w:fill="FFFFFF"/>
        </w:rPr>
      </w:pPr>
    </w:p>
    <w:p w:rsidR="00306DAF" w:rsidRDefault="00306DAF" w:rsidP="003A3833">
      <w:pPr>
        <w:spacing w:line="480" w:lineRule="auto"/>
        <w:jc w:val="center"/>
        <w:rPr>
          <w:rFonts w:ascii="Times New Roman" w:hAnsi="Times New Roman" w:cs="Times New Roman"/>
          <w:sz w:val="24"/>
          <w:szCs w:val="24"/>
          <w:shd w:val="clear" w:color="auto" w:fill="FFFFFF"/>
        </w:rPr>
      </w:pPr>
    </w:p>
    <w:p w:rsidR="00306DAF" w:rsidRPr="00306DAF" w:rsidRDefault="00306DAF" w:rsidP="003A3833">
      <w:pPr>
        <w:spacing w:line="480" w:lineRule="auto"/>
        <w:jc w:val="center"/>
        <w:rPr>
          <w:rFonts w:ascii="Times New Roman" w:hAnsi="Times New Roman" w:cs="Times New Roman"/>
          <w:sz w:val="24"/>
          <w:szCs w:val="24"/>
          <w:shd w:val="clear" w:color="auto" w:fill="FFFFFF"/>
        </w:rPr>
      </w:pPr>
    </w:p>
    <w:p w:rsidR="00161A6F" w:rsidRPr="00306DAF" w:rsidRDefault="00161A6F" w:rsidP="003A3833">
      <w:pPr>
        <w:spacing w:line="480" w:lineRule="auto"/>
        <w:jc w:val="center"/>
        <w:rPr>
          <w:rFonts w:ascii="Times New Roman" w:hAnsi="Times New Roman" w:cs="Times New Roman"/>
          <w:sz w:val="24"/>
          <w:szCs w:val="24"/>
          <w:shd w:val="clear" w:color="auto" w:fill="FFFFFF"/>
        </w:rPr>
      </w:pPr>
    </w:p>
    <w:p w:rsidR="00161A6F" w:rsidRPr="00306DAF" w:rsidRDefault="00161A6F" w:rsidP="003A3833">
      <w:pPr>
        <w:spacing w:line="480" w:lineRule="auto"/>
        <w:jc w:val="center"/>
        <w:rPr>
          <w:rFonts w:ascii="Times New Roman" w:hAnsi="Times New Roman" w:cs="Times New Roman"/>
          <w:sz w:val="24"/>
          <w:szCs w:val="24"/>
          <w:shd w:val="clear" w:color="auto" w:fill="FFFFFF"/>
        </w:rPr>
      </w:pPr>
    </w:p>
    <w:p w:rsidR="008D1DDC" w:rsidRPr="00306DAF" w:rsidRDefault="008D1DDC" w:rsidP="003A3833">
      <w:pPr>
        <w:spacing w:line="480" w:lineRule="auto"/>
        <w:jc w:val="center"/>
        <w:rPr>
          <w:rFonts w:ascii="Times New Roman" w:hAnsi="Times New Roman" w:cs="Times New Roman"/>
          <w:sz w:val="24"/>
          <w:szCs w:val="24"/>
          <w:shd w:val="clear" w:color="auto" w:fill="FFFFFF"/>
        </w:rPr>
      </w:pPr>
      <w:r w:rsidRPr="00306DAF">
        <w:rPr>
          <w:rFonts w:ascii="Times New Roman" w:hAnsi="Times New Roman" w:cs="Times New Roman"/>
          <w:sz w:val="24"/>
          <w:szCs w:val="24"/>
          <w:shd w:val="clear" w:color="auto" w:fill="FFFFFF"/>
        </w:rPr>
        <w:lastRenderedPageBreak/>
        <w:t>References</w:t>
      </w:r>
    </w:p>
    <w:p w:rsidR="007D19F3" w:rsidRPr="00306DAF" w:rsidRDefault="007D19F3" w:rsidP="003A3833">
      <w:pPr>
        <w:spacing w:line="480" w:lineRule="auto"/>
        <w:ind w:left="720" w:hanging="720"/>
        <w:rPr>
          <w:rFonts w:ascii="Times New Roman" w:hAnsi="Times New Roman" w:cs="Times New Roman"/>
          <w:sz w:val="24"/>
          <w:szCs w:val="24"/>
          <w:shd w:val="clear" w:color="auto" w:fill="FFFFFF"/>
        </w:rPr>
      </w:pPr>
      <w:r w:rsidRPr="00306DAF">
        <w:rPr>
          <w:rFonts w:ascii="Times New Roman" w:hAnsi="Times New Roman" w:cs="Times New Roman"/>
          <w:sz w:val="24"/>
          <w:szCs w:val="24"/>
          <w:shd w:val="clear" w:color="auto" w:fill="FFFFFF"/>
        </w:rPr>
        <w:t>Beine, M., Bertoli, S., Chen, S., D’Ambrosio, C., Docquier, F., Dupuy, A., &amp; Koulovatianos, C. (2020). Economic effects of Covid-19 in Luxembourg.</w:t>
      </w:r>
    </w:p>
    <w:p w:rsidR="007D19F3" w:rsidRPr="00306DAF" w:rsidRDefault="007D19F3" w:rsidP="003A3833">
      <w:pPr>
        <w:spacing w:line="480" w:lineRule="auto"/>
        <w:ind w:left="720" w:hanging="720"/>
        <w:rPr>
          <w:rFonts w:ascii="Times New Roman" w:hAnsi="Times New Roman" w:cs="Times New Roman"/>
          <w:sz w:val="24"/>
          <w:szCs w:val="24"/>
          <w:shd w:val="clear" w:color="auto" w:fill="FFFFFF"/>
        </w:rPr>
      </w:pPr>
      <w:r w:rsidRPr="00306DAF">
        <w:rPr>
          <w:rFonts w:ascii="Times New Roman" w:hAnsi="Times New Roman" w:cs="Times New Roman"/>
          <w:sz w:val="24"/>
          <w:szCs w:val="24"/>
          <w:shd w:val="clear" w:color="auto" w:fill="FFFFFF"/>
        </w:rPr>
        <w:t>Chakraborty, L., &amp; Thomas, E. (2020). COVID-19 and Macroeconomic Uncertainty. </w:t>
      </w:r>
      <w:r w:rsidRPr="00306DAF">
        <w:rPr>
          <w:rFonts w:ascii="Times New Roman" w:hAnsi="Times New Roman" w:cs="Times New Roman"/>
          <w:i/>
          <w:iCs/>
          <w:sz w:val="24"/>
          <w:szCs w:val="24"/>
          <w:shd w:val="clear" w:color="auto" w:fill="FFFFFF"/>
        </w:rPr>
        <w:t>Economic &amp; Political Weekly</w:t>
      </w:r>
      <w:r w:rsidRPr="00306DAF">
        <w:rPr>
          <w:rFonts w:ascii="Times New Roman" w:hAnsi="Times New Roman" w:cs="Times New Roman"/>
          <w:sz w:val="24"/>
          <w:szCs w:val="24"/>
          <w:shd w:val="clear" w:color="auto" w:fill="FFFFFF"/>
        </w:rPr>
        <w:t>, </w:t>
      </w:r>
      <w:r w:rsidRPr="00306DAF">
        <w:rPr>
          <w:rFonts w:ascii="Times New Roman" w:hAnsi="Times New Roman" w:cs="Times New Roman"/>
          <w:i/>
          <w:iCs/>
          <w:sz w:val="24"/>
          <w:szCs w:val="24"/>
          <w:shd w:val="clear" w:color="auto" w:fill="FFFFFF"/>
        </w:rPr>
        <w:t>55</w:t>
      </w:r>
      <w:r w:rsidRPr="00306DAF">
        <w:rPr>
          <w:rFonts w:ascii="Times New Roman" w:hAnsi="Times New Roman" w:cs="Times New Roman"/>
          <w:sz w:val="24"/>
          <w:szCs w:val="24"/>
          <w:shd w:val="clear" w:color="auto" w:fill="FFFFFF"/>
        </w:rPr>
        <w:t>(15), 15.</w:t>
      </w:r>
    </w:p>
    <w:p w:rsidR="007D19F3" w:rsidRPr="00306DAF" w:rsidRDefault="007D19F3" w:rsidP="003A3833">
      <w:pPr>
        <w:spacing w:line="480" w:lineRule="auto"/>
        <w:ind w:left="720" w:hanging="720"/>
        <w:rPr>
          <w:rFonts w:ascii="Times New Roman" w:hAnsi="Times New Roman" w:cs="Times New Roman"/>
          <w:sz w:val="24"/>
          <w:szCs w:val="24"/>
        </w:rPr>
      </w:pPr>
      <w:r w:rsidRPr="00306DAF">
        <w:rPr>
          <w:rFonts w:ascii="Times New Roman" w:hAnsi="Times New Roman" w:cs="Times New Roman"/>
          <w:sz w:val="24"/>
          <w:szCs w:val="24"/>
        </w:rPr>
        <w:t>Curdia, V. (2020). Mitigating COVID-19 Effects with Conventional Monetary Policy</w:t>
      </w:r>
      <w:r w:rsidRPr="00306DAF">
        <w:rPr>
          <w:rFonts w:ascii="Times New Roman" w:hAnsi="Times New Roman" w:cs="Times New Roman"/>
          <w:bCs/>
          <w:sz w:val="24"/>
          <w:szCs w:val="24"/>
        </w:rPr>
        <w:t xml:space="preserve">. </w:t>
      </w:r>
      <w:r w:rsidRPr="00306DAF">
        <w:rPr>
          <w:rFonts w:ascii="Times New Roman" w:hAnsi="Times New Roman" w:cs="Times New Roman"/>
          <w:bCs/>
          <w:i/>
          <w:sz w:val="24"/>
          <w:szCs w:val="24"/>
        </w:rPr>
        <w:t>Federal Reserve Bank of San Francisco. Retrieved from</w:t>
      </w:r>
      <w:r w:rsidRPr="00B83CAC">
        <w:rPr>
          <w:rFonts w:ascii="Times New Roman" w:hAnsi="Times New Roman" w:cs="Times New Roman"/>
          <w:bCs/>
          <w:i/>
          <w:sz w:val="24"/>
          <w:szCs w:val="24"/>
        </w:rPr>
        <w:t xml:space="preserve"> </w:t>
      </w:r>
      <w:hyperlink r:id="rId6" w:history="1">
        <w:r w:rsidRPr="00B83CAC">
          <w:rPr>
            <w:rStyle w:val="Hyperlink"/>
            <w:rFonts w:ascii="Times New Roman" w:hAnsi="Times New Roman" w:cs="Times New Roman"/>
            <w:color w:val="auto"/>
            <w:sz w:val="24"/>
            <w:szCs w:val="24"/>
            <w:u w:val="none"/>
          </w:rPr>
          <w:t>https://www.frbsf.org/economic-research/publications/economic-letter/2020/april/mitigating-covid-19-effects-with-conventional-monetary-policy/</w:t>
        </w:r>
      </w:hyperlink>
    </w:p>
    <w:p w:rsidR="007D19F3" w:rsidRPr="00306DAF" w:rsidRDefault="007D19F3" w:rsidP="003A3833">
      <w:pPr>
        <w:spacing w:line="480" w:lineRule="auto"/>
        <w:ind w:left="720" w:hanging="720"/>
        <w:rPr>
          <w:rFonts w:ascii="Times New Roman" w:hAnsi="Times New Roman" w:cs="Times New Roman"/>
          <w:sz w:val="24"/>
          <w:szCs w:val="24"/>
          <w:shd w:val="clear" w:color="auto" w:fill="FFFFFF"/>
        </w:rPr>
      </w:pPr>
      <w:r w:rsidRPr="00306DAF">
        <w:rPr>
          <w:rFonts w:ascii="Times New Roman" w:hAnsi="Times New Roman" w:cs="Times New Roman"/>
          <w:sz w:val="24"/>
          <w:szCs w:val="24"/>
          <w:shd w:val="clear" w:color="auto" w:fill="FFFFFF"/>
        </w:rPr>
        <w:t>Didier, T., Huneeus, F., Larrain, M., &amp; Schmukler, S. L. (2020). Financing Firms in Hibernation during the COVID-19 Pandemic.</w:t>
      </w:r>
    </w:p>
    <w:p w:rsidR="007D19F3" w:rsidRPr="00306DAF" w:rsidRDefault="007D19F3" w:rsidP="003A3833">
      <w:pPr>
        <w:spacing w:line="480" w:lineRule="auto"/>
        <w:ind w:left="720" w:hanging="720"/>
        <w:rPr>
          <w:rFonts w:ascii="Times New Roman" w:hAnsi="Times New Roman" w:cs="Times New Roman"/>
          <w:sz w:val="24"/>
          <w:szCs w:val="24"/>
        </w:rPr>
      </w:pPr>
      <w:r w:rsidRPr="00306DAF">
        <w:rPr>
          <w:rFonts w:ascii="Times New Roman" w:hAnsi="Times New Roman" w:cs="Times New Roman"/>
          <w:sz w:val="24"/>
          <w:szCs w:val="24"/>
          <w:shd w:val="clear" w:color="auto" w:fill="FFFFFF"/>
        </w:rPr>
        <w:t>Guerrier, V., Lorenzo, G., Straub, L., &amp; Warning, I. (2020). </w:t>
      </w:r>
      <w:r w:rsidRPr="00306DAF">
        <w:rPr>
          <w:rFonts w:ascii="Times New Roman" w:hAnsi="Times New Roman" w:cs="Times New Roman"/>
          <w:i/>
          <w:iCs/>
          <w:sz w:val="24"/>
          <w:szCs w:val="24"/>
          <w:shd w:val="clear" w:color="auto" w:fill="FFFFFF"/>
        </w:rPr>
        <w:t>Macroeconomic Implications of COVID-19: Can Negative Supply Shocks Cause Demand Shortages?</w:t>
      </w:r>
      <w:r w:rsidRPr="00306DAF">
        <w:rPr>
          <w:rFonts w:ascii="Times New Roman" w:hAnsi="Times New Roman" w:cs="Times New Roman"/>
          <w:sz w:val="24"/>
          <w:szCs w:val="24"/>
          <w:shd w:val="clear" w:color="auto" w:fill="FFFFFF"/>
        </w:rPr>
        <w:t> (No. w26918). National Bureau of Economic Research.</w:t>
      </w:r>
    </w:p>
    <w:p w:rsidR="007D19F3" w:rsidRPr="00306DAF" w:rsidRDefault="007D19F3" w:rsidP="003A3833">
      <w:pPr>
        <w:spacing w:line="480" w:lineRule="auto"/>
        <w:ind w:left="720" w:hanging="720"/>
        <w:rPr>
          <w:rFonts w:ascii="Times New Roman" w:hAnsi="Times New Roman" w:cs="Times New Roman"/>
          <w:sz w:val="24"/>
          <w:szCs w:val="24"/>
        </w:rPr>
      </w:pPr>
      <w:r w:rsidRPr="00306DAF">
        <w:rPr>
          <w:rFonts w:ascii="Times New Roman" w:hAnsi="Times New Roman" w:cs="Times New Roman"/>
          <w:sz w:val="24"/>
          <w:szCs w:val="24"/>
          <w:shd w:val="clear" w:color="auto" w:fill="FFFFFF"/>
        </w:rPr>
        <w:t xml:space="preserve">International Monetary Fund, (2020). Policy Responses to Covid 19. Retrieved from </w:t>
      </w:r>
      <w:hyperlink r:id="rId7" w:history="1">
        <w:r w:rsidRPr="00B83CAC">
          <w:rPr>
            <w:rStyle w:val="Hyperlink"/>
            <w:rFonts w:ascii="Times New Roman" w:hAnsi="Times New Roman" w:cs="Times New Roman"/>
            <w:color w:val="auto"/>
            <w:sz w:val="24"/>
            <w:szCs w:val="24"/>
            <w:u w:val="none"/>
          </w:rPr>
          <w:t>https://www.imf.org/en/Topics/imf-and-covid19/Policy-Responses-to-COVID-19</w:t>
        </w:r>
      </w:hyperlink>
    </w:p>
    <w:p w:rsidR="00566158" w:rsidRPr="00306DAF" w:rsidRDefault="00566158" w:rsidP="003A3833">
      <w:pPr>
        <w:spacing w:line="480" w:lineRule="auto"/>
        <w:rPr>
          <w:rFonts w:ascii="Times New Roman" w:hAnsi="Times New Roman" w:cs="Times New Roman"/>
          <w:sz w:val="24"/>
          <w:szCs w:val="24"/>
          <w:shd w:val="clear" w:color="auto" w:fill="FFFFFF"/>
        </w:rPr>
      </w:pPr>
      <w:bookmarkStart w:id="0" w:name="_GoBack"/>
      <w:bookmarkEnd w:id="0"/>
    </w:p>
    <w:sectPr w:rsidR="00566158" w:rsidRPr="00306DAF" w:rsidSect="008B1A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300" w:rsidRDefault="00BC3300" w:rsidP="008B1A9A">
      <w:pPr>
        <w:spacing w:after="0" w:line="240" w:lineRule="auto"/>
      </w:pPr>
      <w:r>
        <w:separator/>
      </w:r>
    </w:p>
  </w:endnote>
  <w:endnote w:type="continuationSeparator" w:id="0">
    <w:p w:rsidR="00BC3300" w:rsidRDefault="00BC3300" w:rsidP="008B1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300" w:rsidRDefault="00BC3300" w:rsidP="008B1A9A">
      <w:pPr>
        <w:spacing w:after="0" w:line="240" w:lineRule="auto"/>
      </w:pPr>
      <w:r>
        <w:separator/>
      </w:r>
    </w:p>
  </w:footnote>
  <w:footnote w:type="continuationSeparator" w:id="0">
    <w:p w:rsidR="00BC3300" w:rsidRDefault="00BC3300" w:rsidP="008B1A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A9A" w:rsidRPr="008B1A9A" w:rsidRDefault="008B1A9A">
    <w:pPr>
      <w:pStyle w:val="Header"/>
      <w:rPr>
        <w:rFonts w:ascii="Times New Roman" w:hAnsi="Times New Roman" w:cs="Times New Roman"/>
      </w:rPr>
    </w:pPr>
    <w:r w:rsidRPr="008B1A9A">
      <w:rPr>
        <w:rFonts w:ascii="Times New Roman" w:hAnsi="Times New Roman" w:cs="Times New Roman"/>
        <w:sz w:val="24"/>
        <w:szCs w:val="24"/>
      </w:rPr>
      <w:t xml:space="preserve">SUMMARY OF FISCAL AND MONETARY POLICIES </w:t>
    </w:r>
    <w:r w:rsidR="006921D6">
      <w:rPr>
        <w:rFonts w:ascii="Times New Roman" w:hAnsi="Times New Roman" w:cs="Times New Roman"/>
        <w:sz w:val="24"/>
        <w:szCs w:val="24"/>
      </w:rPr>
      <w:tab/>
    </w:r>
    <w:sdt>
      <w:sdtPr>
        <w:rPr>
          <w:rFonts w:ascii="Times New Roman" w:hAnsi="Times New Roman" w:cs="Times New Roman"/>
        </w:rPr>
        <w:id w:val="-114141874"/>
        <w:docPartObj>
          <w:docPartGallery w:val="Page Numbers (Top of Page)"/>
          <w:docPartUnique/>
        </w:docPartObj>
      </w:sdtPr>
      <w:sdtEndPr>
        <w:rPr>
          <w:noProof/>
        </w:rPr>
      </w:sdtEndPr>
      <w:sdtContent>
        <w:r w:rsidRPr="008B1A9A">
          <w:rPr>
            <w:rFonts w:ascii="Times New Roman" w:hAnsi="Times New Roman" w:cs="Times New Roman"/>
          </w:rPr>
          <w:fldChar w:fldCharType="begin"/>
        </w:r>
        <w:r w:rsidRPr="008B1A9A">
          <w:rPr>
            <w:rFonts w:ascii="Times New Roman" w:hAnsi="Times New Roman" w:cs="Times New Roman"/>
          </w:rPr>
          <w:instrText xml:space="preserve"> PAGE   \* MERGEFORMAT </w:instrText>
        </w:r>
        <w:r w:rsidRPr="008B1A9A">
          <w:rPr>
            <w:rFonts w:ascii="Times New Roman" w:hAnsi="Times New Roman" w:cs="Times New Roman"/>
          </w:rPr>
          <w:fldChar w:fldCharType="separate"/>
        </w:r>
        <w:r w:rsidR="00D737AF">
          <w:rPr>
            <w:rFonts w:ascii="Times New Roman" w:hAnsi="Times New Roman" w:cs="Times New Roman"/>
            <w:noProof/>
          </w:rPr>
          <w:t>8</w:t>
        </w:r>
        <w:r w:rsidRPr="008B1A9A">
          <w:rPr>
            <w:rFonts w:ascii="Times New Roman" w:hAnsi="Times New Roman" w:cs="Times New Roman"/>
            <w:noProof/>
          </w:rPr>
          <w:fldChar w:fldCharType="end"/>
        </w:r>
      </w:sdtContent>
    </w:sdt>
  </w:p>
  <w:p w:rsidR="008B1A9A" w:rsidRPr="008B1A9A" w:rsidRDefault="008B1A9A">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A9A" w:rsidRPr="008B1A9A" w:rsidRDefault="008B1A9A" w:rsidP="008B1A9A">
    <w:pPr>
      <w:rPr>
        <w:rFonts w:ascii="Times New Roman" w:hAnsi="Times New Roman" w:cs="Times New Roman"/>
        <w:sz w:val="24"/>
        <w:szCs w:val="24"/>
      </w:rPr>
    </w:pPr>
    <w:r w:rsidRPr="008B1A9A">
      <w:rPr>
        <w:rFonts w:ascii="Times New Roman" w:hAnsi="Times New Roman" w:cs="Times New Roman"/>
        <w:sz w:val="24"/>
        <w:szCs w:val="24"/>
      </w:rPr>
      <w:t xml:space="preserve">Running head: SUMMARY OF FISCAL AND MONETARY POLICIES </w:t>
    </w:r>
    <w:r w:rsidR="006921D6">
      <w:rPr>
        <w:rFonts w:ascii="Times New Roman" w:hAnsi="Times New Roman" w:cs="Times New Roman"/>
        <w:sz w:val="24"/>
        <w:szCs w:val="24"/>
      </w:rPr>
      <w:t xml:space="preserve">                         </w:t>
    </w:r>
    <w:sdt>
      <w:sdtPr>
        <w:rPr>
          <w:rFonts w:ascii="Times New Roman" w:hAnsi="Times New Roman" w:cs="Times New Roman"/>
          <w:sz w:val="24"/>
          <w:szCs w:val="24"/>
        </w:rPr>
        <w:id w:val="1348217878"/>
        <w:docPartObj>
          <w:docPartGallery w:val="Page Numbers (Top of Page)"/>
          <w:docPartUnique/>
        </w:docPartObj>
      </w:sdtPr>
      <w:sdtEndPr>
        <w:rPr>
          <w:noProof/>
        </w:rPr>
      </w:sdtEndPr>
      <w:sdtContent>
        <w:r w:rsidRPr="008B1A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B1A9A">
          <w:rPr>
            <w:rFonts w:ascii="Times New Roman" w:hAnsi="Times New Roman" w:cs="Times New Roman"/>
            <w:sz w:val="24"/>
            <w:szCs w:val="24"/>
          </w:rPr>
          <w:fldChar w:fldCharType="begin"/>
        </w:r>
        <w:r w:rsidRPr="008B1A9A">
          <w:rPr>
            <w:rFonts w:ascii="Times New Roman" w:hAnsi="Times New Roman" w:cs="Times New Roman"/>
            <w:sz w:val="24"/>
            <w:szCs w:val="24"/>
          </w:rPr>
          <w:instrText xml:space="preserve"> PAGE   \* MERGEFORMAT </w:instrText>
        </w:r>
        <w:r w:rsidRPr="008B1A9A">
          <w:rPr>
            <w:rFonts w:ascii="Times New Roman" w:hAnsi="Times New Roman" w:cs="Times New Roman"/>
            <w:sz w:val="24"/>
            <w:szCs w:val="24"/>
          </w:rPr>
          <w:fldChar w:fldCharType="separate"/>
        </w:r>
        <w:r w:rsidR="00484E74">
          <w:rPr>
            <w:rFonts w:ascii="Times New Roman" w:hAnsi="Times New Roman" w:cs="Times New Roman"/>
            <w:noProof/>
            <w:sz w:val="24"/>
            <w:szCs w:val="24"/>
          </w:rPr>
          <w:t>1</w:t>
        </w:r>
        <w:r w:rsidRPr="008B1A9A">
          <w:rPr>
            <w:rFonts w:ascii="Times New Roman" w:hAnsi="Times New Roman" w:cs="Times New Roman"/>
            <w:noProof/>
            <w:sz w:val="24"/>
            <w:szCs w:val="24"/>
          </w:rPr>
          <w:fldChar w:fldCharType="end"/>
        </w:r>
      </w:sdtContent>
    </w:sdt>
  </w:p>
  <w:p w:rsidR="008B1A9A" w:rsidRPr="008B1A9A" w:rsidRDefault="008B1A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9D9"/>
    <w:rsid w:val="0002047A"/>
    <w:rsid w:val="000336E7"/>
    <w:rsid w:val="000A0908"/>
    <w:rsid w:val="000B3732"/>
    <w:rsid w:val="000D0834"/>
    <w:rsid w:val="000E70A9"/>
    <w:rsid w:val="000F1C17"/>
    <w:rsid w:val="001161D7"/>
    <w:rsid w:val="00161A6F"/>
    <w:rsid w:val="00164316"/>
    <w:rsid w:val="001A5F4B"/>
    <w:rsid w:val="001E30A6"/>
    <w:rsid w:val="001F04F5"/>
    <w:rsid w:val="00227479"/>
    <w:rsid w:val="002633E5"/>
    <w:rsid w:val="002929D9"/>
    <w:rsid w:val="002C14CD"/>
    <w:rsid w:val="002C2730"/>
    <w:rsid w:val="00301764"/>
    <w:rsid w:val="00304F2D"/>
    <w:rsid w:val="00306DAF"/>
    <w:rsid w:val="00341687"/>
    <w:rsid w:val="00390396"/>
    <w:rsid w:val="003A0996"/>
    <w:rsid w:val="003A3833"/>
    <w:rsid w:val="003C0717"/>
    <w:rsid w:val="003E74EB"/>
    <w:rsid w:val="0041620B"/>
    <w:rsid w:val="00455D9A"/>
    <w:rsid w:val="00484E74"/>
    <w:rsid w:val="004C1001"/>
    <w:rsid w:val="004D4168"/>
    <w:rsid w:val="004F1C02"/>
    <w:rsid w:val="00566158"/>
    <w:rsid w:val="005D1993"/>
    <w:rsid w:val="005F0469"/>
    <w:rsid w:val="005F27C7"/>
    <w:rsid w:val="006921D6"/>
    <w:rsid w:val="006B7946"/>
    <w:rsid w:val="006D5EFA"/>
    <w:rsid w:val="007256E0"/>
    <w:rsid w:val="00735D23"/>
    <w:rsid w:val="00754345"/>
    <w:rsid w:val="00766A22"/>
    <w:rsid w:val="00795BCB"/>
    <w:rsid w:val="007A23BA"/>
    <w:rsid w:val="007D19F3"/>
    <w:rsid w:val="00803FA2"/>
    <w:rsid w:val="00827C8E"/>
    <w:rsid w:val="00883C58"/>
    <w:rsid w:val="008A6303"/>
    <w:rsid w:val="008B1A9A"/>
    <w:rsid w:val="008D0507"/>
    <w:rsid w:val="008D1DDC"/>
    <w:rsid w:val="008F4733"/>
    <w:rsid w:val="008F7739"/>
    <w:rsid w:val="009B327F"/>
    <w:rsid w:val="00A51750"/>
    <w:rsid w:val="00B1235C"/>
    <w:rsid w:val="00B728F2"/>
    <w:rsid w:val="00B75163"/>
    <w:rsid w:val="00B83CAC"/>
    <w:rsid w:val="00BC3300"/>
    <w:rsid w:val="00BE7484"/>
    <w:rsid w:val="00C33448"/>
    <w:rsid w:val="00C93412"/>
    <w:rsid w:val="00D737AF"/>
    <w:rsid w:val="00D91534"/>
    <w:rsid w:val="00DF71B7"/>
    <w:rsid w:val="00E34C62"/>
    <w:rsid w:val="00E919BC"/>
    <w:rsid w:val="00E95F6B"/>
    <w:rsid w:val="00ED36E6"/>
    <w:rsid w:val="00F2144D"/>
    <w:rsid w:val="00F23935"/>
    <w:rsid w:val="00F25C59"/>
    <w:rsid w:val="00F33BE1"/>
    <w:rsid w:val="00F42C2F"/>
    <w:rsid w:val="00FE4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FE104A-DA01-45DE-90CF-244CF408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661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161D7"/>
    <w:rPr>
      <w:i/>
      <w:iCs/>
    </w:rPr>
  </w:style>
  <w:style w:type="character" w:styleId="Hyperlink">
    <w:name w:val="Hyperlink"/>
    <w:basedOn w:val="DefaultParagraphFont"/>
    <w:uiPriority w:val="99"/>
    <w:semiHidden/>
    <w:unhideWhenUsed/>
    <w:rsid w:val="008D1DDC"/>
    <w:rPr>
      <w:color w:val="0000FF"/>
      <w:u w:val="single"/>
    </w:rPr>
  </w:style>
  <w:style w:type="character" w:customStyle="1" w:styleId="Heading1Char">
    <w:name w:val="Heading 1 Char"/>
    <w:basedOn w:val="DefaultParagraphFont"/>
    <w:link w:val="Heading1"/>
    <w:uiPriority w:val="9"/>
    <w:rsid w:val="0056615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B1A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1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A9A"/>
  </w:style>
  <w:style w:type="paragraph" w:styleId="Footer">
    <w:name w:val="footer"/>
    <w:basedOn w:val="Normal"/>
    <w:link w:val="FooterChar"/>
    <w:uiPriority w:val="99"/>
    <w:unhideWhenUsed/>
    <w:rsid w:val="008B1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402894">
      <w:bodyDiv w:val="1"/>
      <w:marLeft w:val="0"/>
      <w:marRight w:val="0"/>
      <w:marTop w:val="0"/>
      <w:marBottom w:val="0"/>
      <w:divBdr>
        <w:top w:val="none" w:sz="0" w:space="0" w:color="auto"/>
        <w:left w:val="none" w:sz="0" w:space="0" w:color="auto"/>
        <w:bottom w:val="none" w:sz="0" w:space="0" w:color="auto"/>
        <w:right w:val="none" w:sz="0" w:space="0" w:color="auto"/>
      </w:divBdr>
    </w:div>
    <w:div w:id="172209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mf.org/en/Topics/imf-and-covid19/Policy-Responses-to-COVID-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bsf.org/economic-research/publications/economic-letter/2020/april/mitigating-covid-19-effects-with-conventional-monetary-polic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2020-05-01T16:16:00Z</dcterms:created>
  <dcterms:modified xsi:type="dcterms:W3CDTF">2020-05-01T16:16:00Z</dcterms:modified>
</cp:coreProperties>
</file>